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38" w:rsidRDefault="00A5613E" w:rsidP="00A733A8">
      <w:pPr>
        <w:spacing w:after="0" w:line="240" w:lineRule="auto"/>
        <w:jc w:val="center"/>
        <w:rPr>
          <w:b/>
        </w:rPr>
      </w:pPr>
      <w:r>
        <w:rPr>
          <w:b/>
        </w:rPr>
        <w:t>С</w:t>
      </w:r>
      <w:bookmarkStart w:id="0" w:name="_GoBack"/>
      <w:bookmarkEnd w:id="0"/>
      <w:r w:rsidR="001A6345">
        <w:rPr>
          <w:b/>
        </w:rPr>
        <w:t>тоимость услуг</w:t>
      </w:r>
    </w:p>
    <w:p w:rsidR="00A733A8" w:rsidRPr="00A733A8" w:rsidRDefault="00A733A8" w:rsidP="00A733A8">
      <w:pPr>
        <w:spacing w:after="0" w:line="240" w:lineRule="auto"/>
        <w:jc w:val="center"/>
        <w:rPr>
          <w:b/>
        </w:rPr>
      </w:pPr>
    </w:p>
    <w:tbl>
      <w:tblPr>
        <w:tblStyle w:val="a3"/>
        <w:tblW w:w="0" w:type="auto"/>
        <w:tblLook w:val="04A0" w:firstRow="1" w:lastRow="0" w:firstColumn="1" w:lastColumn="0" w:noHBand="0" w:noVBand="1"/>
      </w:tblPr>
      <w:tblGrid>
        <w:gridCol w:w="500"/>
        <w:gridCol w:w="1485"/>
        <w:gridCol w:w="7654"/>
        <w:gridCol w:w="1184"/>
      </w:tblGrid>
      <w:tr w:rsidR="00A733A8" w:rsidRPr="00A733A8" w:rsidTr="00220620">
        <w:tc>
          <w:tcPr>
            <w:tcW w:w="421" w:type="dxa"/>
            <w:vAlign w:val="center"/>
          </w:tcPr>
          <w:p w:rsidR="00A733A8" w:rsidRPr="00A733A8" w:rsidRDefault="00A733A8" w:rsidP="00A733A8">
            <w:pPr>
              <w:jc w:val="center"/>
              <w:rPr>
                <w:sz w:val="21"/>
                <w:szCs w:val="21"/>
              </w:rPr>
            </w:pPr>
            <w:r w:rsidRPr="00A733A8">
              <w:rPr>
                <w:sz w:val="21"/>
                <w:szCs w:val="21"/>
              </w:rPr>
              <w:t>п/п</w:t>
            </w:r>
          </w:p>
        </w:tc>
        <w:tc>
          <w:tcPr>
            <w:tcW w:w="567" w:type="dxa"/>
            <w:vAlign w:val="center"/>
          </w:tcPr>
          <w:p w:rsidR="00A733A8" w:rsidRPr="00A733A8" w:rsidRDefault="00A733A8" w:rsidP="00A733A8">
            <w:pPr>
              <w:jc w:val="center"/>
              <w:rPr>
                <w:sz w:val="21"/>
                <w:szCs w:val="21"/>
              </w:rPr>
            </w:pPr>
            <w:r w:rsidRPr="00A733A8">
              <w:rPr>
                <w:sz w:val="21"/>
                <w:szCs w:val="21"/>
              </w:rPr>
              <w:t>Категория транспортных средств</w:t>
            </w:r>
          </w:p>
        </w:tc>
        <w:tc>
          <w:tcPr>
            <w:tcW w:w="7654" w:type="dxa"/>
            <w:vAlign w:val="center"/>
          </w:tcPr>
          <w:p w:rsidR="00A733A8" w:rsidRPr="00A733A8" w:rsidRDefault="00A733A8" w:rsidP="00A733A8">
            <w:pPr>
              <w:jc w:val="center"/>
              <w:rPr>
                <w:sz w:val="21"/>
                <w:szCs w:val="21"/>
              </w:rPr>
            </w:pPr>
            <w:r w:rsidRPr="00A733A8">
              <w:rPr>
                <w:sz w:val="21"/>
                <w:szCs w:val="21"/>
              </w:rPr>
              <w:t>Категории ТС по техническому регламенту</w:t>
            </w:r>
          </w:p>
        </w:tc>
        <w:tc>
          <w:tcPr>
            <w:tcW w:w="703" w:type="dxa"/>
            <w:vAlign w:val="center"/>
          </w:tcPr>
          <w:p w:rsidR="00A733A8" w:rsidRPr="00A733A8" w:rsidRDefault="00A733A8" w:rsidP="00A733A8">
            <w:pPr>
              <w:jc w:val="center"/>
              <w:rPr>
                <w:sz w:val="21"/>
                <w:szCs w:val="21"/>
              </w:rPr>
            </w:pPr>
            <w:r w:rsidRPr="00A733A8">
              <w:rPr>
                <w:sz w:val="21"/>
                <w:szCs w:val="21"/>
              </w:rPr>
              <w:t>Стоимость ₽</w:t>
            </w:r>
          </w:p>
        </w:tc>
      </w:tr>
      <w:tr w:rsidR="00A733A8" w:rsidRPr="00A733A8" w:rsidTr="00220620">
        <w:tc>
          <w:tcPr>
            <w:tcW w:w="421" w:type="dxa"/>
            <w:vAlign w:val="center"/>
          </w:tcPr>
          <w:p w:rsidR="00A733A8" w:rsidRPr="00A733A8" w:rsidRDefault="00A733A8" w:rsidP="00A733A8">
            <w:pPr>
              <w:jc w:val="center"/>
              <w:rPr>
                <w:sz w:val="21"/>
                <w:szCs w:val="21"/>
              </w:rPr>
            </w:pPr>
            <w:r w:rsidRPr="00A733A8">
              <w:rPr>
                <w:sz w:val="21"/>
                <w:szCs w:val="21"/>
              </w:rPr>
              <w:t>1.</w:t>
            </w:r>
          </w:p>
        </w:tc>
        <w:tc>
          <w:tcPr>
            <w:tcW w:w="567" w:type="dxa"/>
            <w:vAlign w:val="center"/>
          </w:tcPr>
          <w:p w:rsidR="00A733A8" w:rsidRPr="00A733A8" w:rsidRDefault="00A733A8" w:rsidP="00A733A8">
            <w:pPr>
              <w:jc w:val="center"/>
              <w:rPr>
                <w:sz w:val="21"/>
                <w:szCs w:val="21"/>
              </w:rPr>
            </w:pPr>
            <w:r w:rsidRPr="00A733A8">
              <w:rPr>
                <w:sz w:val="21"/>
                <w:szCs w:val="21"/>
              </w:rPr>
              <w:t>L</w:t>
            </w:r>
          </w:p>
        </w:tc>
        <w:tc>
          <w:tcPr>
            <w:tcW w:w="7654" w:type="dxa"/>
          </w:tcPr>
          <w:p w:rsidR="00A733A8" w:rsidRPr="00A733A8" w:rsidRDefault="00A733A8" w:rsidP="00A733A8">
            <w:pPr>
              <w:rPr>
                <w:sz w:val="21"/>
                <w:szCs w:val="21"/>
              </w:rPr>
            </w:pPr>
            <w:r w:rsidRPr="00A733A8">
              <w:rPr>
                <w:b/>
                <w:bCs/>
                <w:sz w:val="21"/>
                <w:szCs w:val="21"/>
              </w:rPr>
              <w:t>Категория L1</w:t>
            </w:r>
            <w:r w:rsidRPr="00A733A8">
              <w:rPr>
                <w:sz w:val="21"/>
                <w:szCs w:val="21"/>
              </w:rPr>
              <w:t> — Двухколесное транспортное средство, максимальная конструктивная скорость которого не превышает 50 км/ч, и характеризующееся:</w:t>
            </w:r>
            <w:r w:rsidRPr="00A733A8">
              <w:rPr>
                <w:sz w:val="21"/>
                <w:szCs w:val="21"/>
              </w:rPr>
              <w:br/>
              <w:t>— в случае двигателя внутреннего сгорания — рабочим объемом двигателя, не превышающим 50 куб. см, или</w:t>
            </w:r>
            <w:r w:rsidRPr="00A733A8">
              <w:rPr>
                <w:sz w:val="21"/>
                <w:szCs w:val="21"/>
              </w:rPr>
              <w:br/>
              <w:t>— в случае электродвигателя — номинальной максимальной мощностью в режиме длительной нагрузки, не превышающей 4 кВт.</w:t>
            </w:r>
          </w:p>
          <w:p w:rsidR="00A733A8" w:rsidRPr="00A733A8" w:rsidRDefault="00A733A8" w:rsidP="00A733A8">
            <w:pPr>
              <w:rPr>
                <w:sz w:val="21"/>
                <w:szCs w:val="21"/>
              </w:rPr>
            </w:pPr>
            <w:r w:rsidRPr="00A733A8">
              <w:rPr>
                <w:b/>
                <w:bCs/>
                <w:sz w:val="21"/>
                <w:szCs w:val="21"/>
              </w:rPr>
              <w:t>Категория L2</w:t>
            </w:r>
            <w:r w:rsidRPr="00A733A8">
              <w:rPr>
                <w:sz w:val="21"/>
                <w:szCs w:val="21"/>
              </w:rPr>
              <w:t> — Трехколесное транспортное средство с любым расположением колес, максимальная конструктивная скорость которого не превышает 50 км/ч, и характеризующееся:</w:t>
            </w:r>
            <w:r w:rsidRPr="00A733A8">
              <w:rPr>
                <w:sz w:val="21"/>
                <w:szCs w:val="21"/>
              </w:rPr>
              <w:br/>
              <w:t>— в случае двигателя внутреннего сгорания с принудительным зажиганием — рабочим объемом двигателя, не превышающим 50 куб. см, или</w:t>
            </w:r>
            <w:r w:rsidRPr="00A733A8">
              <w:rPr>
                <w:sz w:val="21"/>
                <w:szCs w:val="21"/>
              </w:rPr>
              <w:br/>
              <w:t>— в случае двигателя внутреннего сгорания другого типа — максимальной эффективной мощностью, не превышающей 4 кВт, или</w:t>
            </w:r>
            <w:r w:rsidRPr="00A733A8">
              <w:rPr>
                <w:sz w:val="21"/>
                <w:szCs w:val="21"/>
              </w:rPr>
              <w:br/>
              <w:t>— в случае электродвигателя — номинальной максимальной мощностью в режиме длительной нагрузки, не превышающей 4 кВт</w:t>
            </w:r>
          </w:p>
          <w:p w:rsidR="00A733A8" w:rsidRPr="00A733A8" w:rsidRDefault="00A733A8" w:rsidP="00A733A8">
            <w:pPr>
              <w:jc w:val="center"/>
              <w:rPr>
                <w:b/>
                <w:sz w:val="21"/>
                <w:szCs w:val="21"/>
              </w:rPr>
            </w:pPr>
            <w:r w:rsidRPr="00A733A8">
              <w:rPr>
                <w:b/>
                <w:sz w:val="21"/>
                <w:szCs w:val="21"/>
              </w:rPr>
              <w:t xml:space="preserve">Мотоциклы, мотороллеры, </w:t>
            </w:r>
            <w:proofErr w:type="spellStart"/>
            <w:r w:rsidRPr="00A733A8">
              <w:rPr>
                <w:b/>
                <w:sz w:val="21"/>
                <w:szCs w:val="21"/>
              </w:rPr>
              <w:t>трициклы</w:t>
            </w:r>
            <w:proofErr w:type="spellEnd"/>
          </w:p>
          <w:p w:rsidR="00A733A8" w:rsidRPr="00A733A8" w:rsidRDefault="00A733A8" w:rsidP="00A733A8">
            <w:pPr>
              <w:rPr>
                <w:sz w:val="21"/>
                <w:szCs w:val="21"/>
              </w:rPr>
            </w:pPr>
            <w:r w:rsidRPr="00A733A8">
              <w:rPr>
                <w:b/>
                <w:bCs/>
                <w:sz w:val="21"/>
                <w:szCs w:val="21"/>
              </w:rPr>
              <w:t>Категория L3</w:t>
            </w:r>
            <w:r w:rsidRPr="00A733A8">
              <w:rPr>
                <w:sz w:val="21"/>
                <w:szCs w:val="21"/>
              </w:rPr>
              <w:t> — Двухколесное транспортное средство,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w:t>
            </w:r>
          </w:p>
          <w:p w:rsidR="00A733A8" w:rsidRPr="00A733A8" w:rsidRDefault="00A733A8" w:rsidP="00A733A8">
            <w:pPr>
              <w:rPr>
                <w:sz w:val="21"/>
                <w:szCs w:val="21"/>
              </w:rPr>
            </w:pPr>
            <w:r w:rsidRPr="00A733A8">
              <w:rPr>
                <w:b/>
                <w:bCs/>
                <w:sz w:val="21"/>
                <w:szCs w:val="21"/>
              </w:rPr>
              <w:t>Категория L4</w:t>
            </w:r>
            <w:r w:rsidRPr="00A733A8">
              <w:rPr>
                <w:sz w:val="21"/>
                <w:szCs w:val="21"/>
              </w:rPr>
              <w:t> —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см3 и (или) максимальная конструктивная скорость (при любом двигателе) превышает 50 км/ч.</w:t>
            </w:r>
          </w:p>
          <w:p w:rsidR="00A733A8" w:rsidRPr="00A733A8" w:rsidRDefault="00A733A8" w:rsidP="00A733A8">
            <w:pPr>
              <w:rPr>
                <w:sz w:val="21"/>
                <w:szCs w:val="21"/>
              </w:rPr>
            </w:pPr>
            <w:r w:rsidRPr="00A733A8">
              <w:rPr>
                <w:b/>
                <w:bCs/>
                <w:sz w:val="21"/>
                <w:szCs w:val="21"/>
              </w:rPr>
              <w:t>Категория L5</w:t>
            </w:r>
            <w:r w:rsidRPr="00A733A8">
              <w:rPr>
                <w:sz w:val="21"/>
                <w:szCs w:val="21"/>
              </w:rPr>
              <w:t> —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куб. см и (или) максимальная конструктивная скорость (при любом двигателе) превышает 50 км/ч.</w:t>
            </w:r>
          </w:p>
          <w:p w:rsidR="00A733A8" w:rsidRPr="00A733A8" w:rsidRDefault="00A733A8" w:rsidP="00A733A8">
            <w:pPr>
              <w:jc w:val="center"/>
              <w:rPr>
                <w:b/>
                <w:sz w:val="21"/>
                <w:szCs w:val="21"/>
              </w:rPr>
            </w:pPr>
            <w:r w:rsidRPr="00A733A8">
              <w:rPr>
                <w:b/>
                <w:sz w:val="21"/>
                <w:szCs w:val="21"/>
              </w:rPr>
              <w:t>Квадроциклы</w:t>
            </w:r>
          </w:p>
          <w:p w:rsidR="00A733A8" w:rsidRPr="00A733A8" w:rsidRDefault="00A733A8" w:rsidP="00A733A8">
            <w:pPr>
              <w:rPr>
                <w:sz w:val="21"/>
                <w:szCs w:val="21"/>
              </w:rPr>
            </w:pPr>
            <w:r w:rsidRPr="00A733A8">
              <w:rPr>
                <w:b/>
                <w:bCs/>
                <w:sz w:val="21"/>
                <w:szCs w:val="21"/>
              </w:rPr>
              <w:t>Категория L6</w:t>
            </w:r>
            <w:r w:rsidRPr="00A733A8">
              <w:rPr>
                <w:sz w:val="21"/>
                <w:szCs w:val="21"/>
              </w:rPr>
              <w:t> — Четырехколесное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характеризующееся:</w:t>
            </w:r>
            <w:r w:rsidRPr="00A733A8">
              <w:rPr>
                <w:sz w:val="21"/>
                <w:szCs w:val="21"/>
              </w:rPr>
              <w:br/>
              <w:t>— в случае двигателя внутреннего сгорания с принудительным зажиганием — рабочим объемом двигателя, не превышающим 50 см3, или</w:t>
            </w:r>
            <w:r w:rsidRPr="00A733A8">
              <w:rPr>
                <w:sz w:val="21"/>
                <w:szCs w:val="21"/>
              </w:rPr>
              <w:br/>
              <w:t>— в случае двигателя внутреннего сгорания другого типа — максимальной эффективной мощностью двигателя, не превышающей 4 кВт, или</w:t>
            </w:r>
            <w:r w:rsidRPr="00A733A8">
              <w:rPr>
                <w:sz w:val="21"/>
                <w:szCs w:val="21"/>
              </w:rPr>
              <w:br/>
              <w:t>— в случае электродвигателя — номинальной максимальной мощностью двигателя в режиме длительной нагрузки, не превышающей 4 кВт.</w:t>
            </w:r>
          </w:p>
          <w:p w:rsidR="00A733A8" w:rsidRPr="00A733A8" w:rsidRDefault="00A733A8" w:rsidP="00A733A8">
            <w:pPr>
              <w:rPr>
                <w:sz w:val="21"/>
                <w:szCs w:val="21"/>
              </w:rPr>
            </w:pPr>
            <w:r w:rsidRPr="00A733A8">
              <w:rPr>
                <w:b/>
                <w:bCs/>
                <w:sz w:val="21"/>
                <w:szCs w:val="21"/>
              </w:rPr>
              <w:t>Категория L7</w:t>
            </w:r>
            <w:r w:rsidRPr="00A733A8">
              <w:rPr>
                <w:sz w:val="21"/>
                <w:szCs w:val="21"/>
              </w:rPr>
              <w:t> — Четырехколесное транспортное средство, иное, чем транспортное средство категории L6,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c>
          <w:tcPr>
            <w:tcW w:w="703" w:type="dxa"/>
            <w:vAlign w:val="center"/>
          </w:tcPr>
          <w:p w:rsidR="00A733A8" w:rsidRPr="00A733A8" w:rsidRDefault="00A733A8" w:rsidP="00A733A8">
            <w:pPr>
              <w:jc w:val="center"/>
              <w:rPr>
                <w:sz w:val="21"/>
                <w:szCs w:val="21"/>
              </w:rPr>
            </w:pPr>
            <w:r w:rsidRPr="00A733A8">
              <w:rPr>
                <w:sz w:val="21"/>
                <w:szCs w:val="21"/>
              </w:rPr>
              <w:t>181.00</w:t>
            </w:r>
          </w:p>
        </w:tc>
      </w:tr>
      <w:tr w:rsidR="00A733A8" w:rsidRPr="00A733A8" w:rsidTr="00220620">
        <w:tc>
          <w:tcPr>
            <w:tcW w:w="421" w:type="dxa"/>
            <w:vAlign w:val="center"/>
          </w:tcPr>
          <w:p w:rsidR="00A733A8" w:rsidRPr="00A733A8" w:rsidRDefault="00A733A8" w:rsidP="00A733A8">
            <w:pPr>
              <w:jc w:val="center"/>
              <w:rPr>
                <w:sz w:val="21"/>
                <w:szCs w:val="21"/>
              </w:rPr>
            </w:pPr>
            <w:r w:rsidRPr="00A733A8">
              <w:rPr>
                <w:sz w:val="21"/>
                <w:szCs w:val="21"/>
              </w:rPr>
              <w:t>2.</w:t>
            </w:r>
          </w:p>
        </w:tc>
        <w:tc>
          <w:tcPr>
            <w:tcW w:w="567" w:type="dxa"/>
            <w:vAlign w:val="center"/>
          </w:tcPr>
          <w:p w:rsidR="00A733A8" w:rsidRPr="00A733A8" w:rsidRDefault="00A733A8" w:rsidP="00A733A8">
            <w:pPr>
              <w:jc w:val="center"/>
              <w:rPr>
                <w:sz w:val="21"/>
                <w:szCs w:val="21"/>
              </w:rPr>
            </w:pPr>
            <w:r w:rsidRPr="00A733A8">
              <w:rPr>
                <w:sz w:val="21"/>
                <w:szCs w:val="21"/>
              </w:rPr>
              <w:t>M1</w:t>
            </w:r>
          </w:p>
          <w:p w:rsidR="00A733A8" w:rsidRPr="00A733A8" w:rsidRDefault="00A733A8" w:rsidP="00A733A8">
            <w:pPr>
              <w:jc w:val="center"/>
              <w:rPr>
                <w:sz w:val="21"/>
                <w:szCs w:val="21"/>
              </w:rPr>
            </w:pPr>
          </w:p>
        </w:tc>
        <w:tc>
          <w:tcPr>
            <w:tcW w:w="7654" w:type="dxa"/>
          </w:tcPr>
          <w:p w:rsidR="00A733A8" w:rsidRPr="00A733A8" w:rsidRDefault="00A733A8" w:rsidP="00A733A8">
            <w:pPr>
              <w:rPr>
                <w:sz w:val="21"/>
                <w:szCs w:val="21"/>
              </w:rPr>
            </w:pPr>
            <w:r w:rsidRPr="00A733A8">
              <w:rPr>
                <w:b/>
                <w:bCs/>
                <w:sz w:val="21"/>
                <w:szCs w:val="21"/>
              </w:rPr>
              <w:t>Категория M1</w:t>
            </w:r>
            <w:r w:rsidRPr="00A733A8">
              <w:rPr>
                <w:sz w:val="21"/>
                <w:szCs w:val="21"/>
              </w:rPr>
              <w:t> — Транспортные средства, используемые для перевозки пассажиров и имеющие, помимо места водителя, не более восьми мест для сидения.</w:t>
            </w:r>
          </w:p>
        </w:tc>
        <w:tc>
          <w:tcPr>
            <w:tcW w:w="703" w:type="dxa"/>
            <w:vAlign w:val="center"/>
          </w:tcPr>
          <w:p w:rsidR="00A733A8" w:rsidRPr="00A733A8" w:rsidRDefault="00A733A8" w:rsidP="00A733A8">
            <w:pPr>
              <w:jc w:val="center"/>
              <w:rPr>
                <w:sz w:val="21"/>
                <w:szCs w:val="21"/>
              </w:rPr>
            </w:pPr>
            <w:r w:rsidRPr="00A733A8">
              <w:rPr>
                <w:sz w:val="21"/>
                <w:szCs w:val="21"/>
              </w:rPr>
              <w:t>543.00</w:t>
            </w:r>
          </w:p>
        </w:tc>
      </w:tr>
      <w:tr w:rsidR="00A733A8" w:rsidRPr="00A733A8" w:rsidTr="00220620">
        <w:tc>
          <w:tcPr>
            <w:tcW w:w="421" w:type="dxa"/>
            <w:vAlign w:val="center"/>
          </w:tcPr>
          <w:p w:rsidR="00A733A8" w:rsidRPr="00A733A8" w:rsidRDefault="00A733A8" w:rsidP="00A733A8">
            <w:pPr>
              <w:jc w:val="center"/>
              <w:rPr>
                <w:sz w:val="21"/>
                <w:szCs w:val="21"/>
              </w:rPr>
            </w:pPr>
            <w:r w:rsidRPr="00A733A8">
              <w:rPr>
                <w:sz w:val="21"/>
                <w:szCs w:val="21"/>
              </w:rPr>
              <w:t>3.</w:t>
            </w:r>
          </w:p>
        </w:tc>
        <w:tc>
          <w:tcPr>
            <w:tcW w:w="567" w:type="dxa"/>
            <w:vAlign w:val="center"/>
          </w:tcPr>
          <w:p w:rsidR="00A733A8" w:rsidRPr="00A733A8" w:rsidRDefault="00A733A8" w:rsidP="00A733A8">
            <w:pPr>
              <w:jc w:val="center"/>
              <w:rPr>
                <w:sz w:val="21"/>
                <w:szCs w:val="21"/>
              </w:rPr>
            </w:pPr>
            <w:r w:rsidRPr="00A733A8">
              <w:rPr>
                <w:sz w:val="21"/>
                <w:szCs w:val="21"/>
              </w:rPr>
              <w:t>M2</w:t>
            </w:r>
          </w:p>
        </w:tc>
        <w:tc>
          <w:tcPr>
            <w:tcW w:w="7654" w:type="dxa"/>
          </w:tcPr>
          <w:p w:rsidR="00A733A8" w:rsidRPr="00A733A8" w:rsidRDefault="00A733A8" w:rsidP="00A733A8">
            <w:pPr>
              <w:rPr>
                <w:sz w:val="21"/>
                <w:szCs w:val="21"/>
              </w:rPr>
            </w:pPr>
            <w:r w:rsidRPr="00A733A8">
              <w:rPr>
                <w:b/>
                <w:bCs/>
                <w:sz w:val="21"/>
                <w:szCs w:val="21"/>
              </w:rPr>
              <w:t>Категория M2</w:t>
            </w:r>
            <w:r w:rsidRPr="00A733A8">
              <w:rPr>
                <w:sz w:val="21"/>
                <w:szCs w:val="21"/>
              </w:rPr>
              <w:t>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p>
        </w:tc>
        <w:tc>
          <w:tcPr>
            <w:tcW w:w="703" w:type="dxa"/>
            <w:vAlign w:val="center"/>
          </w:tcPr>
          <w:p w:rsidR="00A733A8" w:rsidRPr="00A733A8" w:rsidRDefault="00A733A8" w:rsidP="00A733A8">
            <w:pPr>
              <w:jc w:val="center"/>
              <w:rPr>
                <w:sz w:val="21"/>
                <w:szCs w:val="21"/>
              </w:rPr>
            </w:pPr>
            <w:r w:rsidRPr="00A733A8">
              <w:rPr>
                <w:sz w:val="21"/>
                <w:szCs w:val="21"/>
              </w:rPr>
              <w:t>1068.00</w:t>
            </w:r>
          </w:p>
        </w:tc>
      </w:tr>
      <w:tr w:rsidR="00A733A8" w:rsidRPr="00A733A8" w:rsidTr="00220620">
        <w:tc>
          <w:tcPr>
            <w:tcW w:w="421" w:type="dxa"/>
            <w:vAlign w:val="center"/>
          </w:tcPr>
          <w:p w:rsidR="00A733A8" w:rsidRPr="00A733A8" w:rsidRDefault="00A733A8" w:rsidP="00A733A8">
            <w:pPr>
              <w:jc w:val="center"/>
              <w:rPr>
                <w:sz w:val="21"/>
                <w:szCs w:val="21"/>
              </w:rPr>
            </w:pPr>
            <w:r w:rsidRPr="00A733A8">
              <w:rPr>
                <w:sz w:val="21"/>
                <w:szCs w:val="21"/>
              </w:rPr>
              <w:t>4.</w:t>
            </w:r>
          </w:p>
        </w:tc>
        <w:tc>
          <w:tcPr>
            <w:tcW w:w="567" w:type="dxa"/>
            <w:vAlign w:val="center"/>
          </w:tcPr>
          <w:p w:rsidR="00A733A8" w:rsidRPr="00A733A8" w:rsidRDefault="00A733A8" w:rsidP="00A733A8">
            <w:pPr>
              <w:jc w:val="center"/>
              <w:rPr>
                <w:sz w:val="21"/>
                <w:szCs w:val="21"/>
              </w:rPr>
            </w:pPr>
            <w:r w:rsidRPr="00A733A8">
              <w:rPr>
                <w:sz w:val="21"/>
                <w:szCs w:val="21"/>
              </w:rPr>
              <w:t>N1</w:t>
            </w:r>
          </w:p>
        </w:tc>
        <w:tc>
          <w:tcPr>
            <w:tcW w:w="7654" w:type="dxa"/>
          </w:tcPr>
          <w:p w:rsidR="00A733A8" w:rsidRPr="00A733A8" w:rsidRDefault="00A733A8" w:rsidP="00A733A8">
            <w:pPr>
              <w:rPr>
                <w:sz w:val="21"/>
                <w:szCs w:val="21"/>
              </w:rPr>
            </w:pPr>
            <w:r w:rsidRPr="00A733A8">
              <w:rPr>
                <w:b/>
                <w:bCs/>
                <w:sz w:val="21"/>
                <w:szCs w:val="21"/>
              </w:rPr>
              <w:t>Категория N1</w:t>
            </w:r>
            <w:r w:rsidRPr="00A733A8">
              <w:rPr>
                <w:sz w:val="21"/>
                <w:szCs w:val="21"/>
              </w:rPr>
              <w:t> — Транспортные средства, предназначенные для перевозки грузов, имеющие технически допустимую максимальную массу не более 3,5 тонн.</w:t>
            </w:r>
          </w:p>
        </w:tc>
        <w:tc>
          <w:tcPr>
            <w:tcW w:w="703" w:type="dxa"/>
            <w:vAlign w:val="center"/>
          </w:tcPr>
          <w:p w:rsidR="00A733A8" w:rsidRPr="00A733A8" w:rsidRDefault="00A733A8" w:rsidP="00A733A8">
            <w:pPr>
              <w:jc w:val="center"/>
              <w:rPr>
                <w:sz w:val="21"/>
                <w:szCs w:val="21"/>
              </w:rPr>
            </w:pPr>
            <w:r w:rsidRPr="00A733A8">
              <w:rPr>
                <w:sz w:val="21"/>
                <w:szCs w:val="21"/>
              </w:rPr>
              <w:t>579.00</w:t>
            </w:r>
          </w:p>
        </w:tc>
      </w:tr>
      <w:tr w:rsidR="00A733A8" w:rsidRPr="00A733A8" w:rsidTr="00220620">
        <w:tc>
          <w:tcPr>
            <w:tcW w:w="421" w:type="dxa"/>
            <w:vAlign w:val="center"/>
          </w:tcPr>
          <w:p w:rsidR="00A733A8" w:rsidRPr="00A733A8" w:rsidRDefault="00A733A8" w:rsidP="00A733A8">
            <w:pPr>
              <w:jc w:val="center"/>
              <w:rPr>
                <w:sz w:val="21"/>
                <w:szCs w:val="21"/>
              </w:rPr>
            </w:pPr>
            <w:r w:rsidRPr="00A733A8">
              <w:rPr>
                <w:sz w:val="21"/>
                <w:szCs w:val="21"/>
              </w:rPr>
              <w:t>5.</w:t>
            </w:r>
          </w:p>
        </w:tc>
        <w:tc>
          <w:tcPr>
            <w:tcW w:w="567" w:type="dxa"/>
            <w:vAlign w:val="center"/>
          </w:tcPr>
          <w:p w:rsidR="00A733A8" w:rsidRPr="00A733A8" w:rsidRDefault="00A733A8" w:rsidP="00A733A8">
            <w:pPr>
              <w:jc w:val="center"/>
              <w:rPr>
                <w:sz w:val="21"/>
                <w:szCs w:val="21"/>
              </w:rPr>
            </w:pPr>
            <w:r w:rsidRPr="00A733A8">
              <w:rPr>
                <w:sz w:val="21"/>
                <w:szCs w:val="21"/>
              </w:rPr>
              <w:t>N2</w:t>
            </w:r>
          </w:p>
        </w:tc>
        <w:tc>
          <w:tcPr>
            <w:tcW w:w="7654" w:type="dxa"/>
          </w:tcPr>
          <w:p w:rsidR="00A733A8" w:rsidRPr="00A733A8" w:rsidRDefault="00A733A8" w:rsidP="00A733A8">
            <w:pPr>
              <w:rPr>
                <w:sz w:val="21"/>
                <w:szCs w:val="21"/>
              </w:rPr>
            </w:pPr>
            <w:r w:rsidRPr="00A733A8">
              <w:rPr>
                <w:b/>
                <w:bCs/>
                <w:sz w:val="21"/>
                <w:szCs w:val="21"/>
              </w:rPr>
              <w:t>Категория N2</w:t>
            </w:r>
            <w:r w:rsidRPr="00A733A8">
              <w:rPr>
                <w:sz w:val="21"/>
                <w:szCs w:val="21"/>
              </w:rPr>
              <w:t> — Транспортные средства, предназначенные для перевозки грузов, имеющие технически допустимую максимальную массу свыше 3,5 тонн, но не более 12 тонн.</w:t>
            </w:r>
          </w:p>
        </w:tc>
        <w:tc>
          <w:tcPr>
            <w:tcW w:w="703" w:type="dxa"/>
            <w:vAlign w:val="center"/>
          </w:tcPr>
          <w:p w:rsidR="00A733A8" w:rsidRPr="00A733A8" w:rsidRDefault="00A733A8" w:rsidP="00A733A8">
            <w:pPr>
              <w:jc w:val="center"/>
              <w:rPr>
                <w:sz w:val="21"/>
                <w:szCs w:val="21"/>
              </w:rPr>
            </w:pPr>
            <w:r w:rsidRPr="00A733A8">
              <w:rPr>
                <w:sz w:val="21"/>
                <w:szCs w:val="21"/>
              </w:rPr>
              <w:t>1140.00</w:t>
            </w:r>
          </w:p>
        </w:tc>
      </w:tr>
      <w:tr w:rsidR="00A733A8" w:rsidRPr="00A733A8" w:rsidTr="00220620">
        <w:trPr>
          <w:trHeight w:val="289"/>
        </w:trPr>
        <w:tc>
          <w:tcPr>
            <w:tcW w:w="421" w:type="dxa"/>
            <w:vAlign w:val="center"/>
          </w:tcPr>
          <w:p w:rsidR="00A733A8" w:rsidRPr="00A733A8" w:rsidRDefault="00A733A8" w:rsidP="00A733A8">
            <w:pPr>
              <w:jc w:val="center"/>
              <w:rPr>
                <w:sz w:val="21"/>
                <w:szCs w:val="21"/>
              </w:rPr>
            </w:pPr>
            <w:r w:rsidRPr="00A733A8">
              <w:rPr>
                <w:sz w:val="21"/>
                <w:szCs w:val="21"/>
              </w:rPr>
              <w:t>6.</w:t>
            </w:r>
          </w:p>
        </w:tc>
        <w:tc>
          <w:tcPr>
            <w:tcW w:w="567" w:type="dxa"/>
            <w:vAlign w:val="center"/>
          </w:tcPr>
          <w:p w:rsidR="00A733A8" w:rsidRPr="00A733A8" w:rsidRDefault="00A733A8" w:rsidP="00A733A8">
            <w:pPr>
              <w:jc w:val="center"/>
              <w:rPr>
                <w:sz w:val="21"/>
                <w:szCs w:val="21"/>
              </w:rPr>
            </w:pPr>
            <w:r w:rsidRPr="00A733A8">
              <w:rPr>
                <w:sz w:val="21"/>
                <w:szCs w:val="21"/>
              </w:rPr>
              <w:t>O1</w:t>
            </w:r>
          </w:p>
        </w:tc>
        <w:tc>
          <w:tcPr>
            <w:tcW w:w="7654" w:type="dxa"/>
          </w:tcPr>
          <w:p w:rsidR="00A733A8" w:rsidRPr="00A733A8" w:rsidRDefault="00A733A8" w:rsidP="00A733A8">
            <w:pPr>
              <w:rPr>
                <w:sz w:val="21"/>
                <w:szCs w:val="21"/>
              </w:rPr>
            </w:pPr>
            <w:r w:rsidRPr="00A733A8">
              <w:rPr>
                <w:sz w:val="21"/>
                <w:szCs w:val="21"/>
              </w:rPr>
              <w:t>Категория O1 — Прицепы, технически допустимая максимальная масса которых не более 0,75 тонн.</w:t>
            </w:r>
          </w:p>
        </w:tc>
        <w:tc>
          <w:tcPr>
            <w:tcW w:w="703" w:type="dxa"/>
            <w:vAlign w:val="center"/>
          </w:tcPr>
          <w:p w:rsidR="00A733A8" w:rsidRPr="00A733A8" w:rsidRDefault="00A733A8" w:rsidP="00A733A8">
            <w:pPr>
              <w:jc w:val="center"/>
              <w:rPr>
                <w:sz w:val="21"/>
                <w:szCs w:val="21"/>
              </w:rPr>
            </w:pPr>
            <w:r w:rsidRPr="00A733A8">
              <w:rPr>
                <w:sz w:val="21"/>
                <w:szCs w:val="21"/>
              </w:rPr>
              <w:t>453.00</w:t>
            </w:r>
          </w:p>
        </w:tc>
      </w:tr>
    </w:tbl>
    <w:p w:rsidR="00A733A8" w:rsidRDefault="00A733A8" w:rsidP="00A733A8">
      <w:pPr>
        <w:spacing w:after="0" w:line="240" w:lineRule="auto"/>
        <w:jc w:val="center"/>
      </w:pPr>
    </w:p>
    <w:sectPr w:rsidR="00A733A8" w:rsidSect="00A733A8">
      <w:pgSz w:w="11906" w:h="16838"/>
      <w:pgMar w:top="284"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A8"/>
    <w:rsid w:val="001A6345"/>
    <w:rsid w:val="00901738"/>
    <w:rsid w:val="00A5613E"/>
    <w:rsid w:val="00A7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2497"/>
  <w15:chartTrackingRefBased/>
  <w15:docId w15:val="{05B911AA-6FAF-4ACD-AAEC-B6F399C8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Admin</cp:lastModifiedBy>
  <cp:revision>3</cp:revision>
  <dcterms:created xsi:type="dcterms:W3CDTF">2022-06-15T04:13:00Z</dcterms:created>
  <dcterms:modified xsi:type="dcterms:W3CDTF">2022-06-19T10:19:00Z</dcterms:modified>
</cp:coreProperties>
</file>